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69" w:rsidRPr="00C72169" w:rsidRDefault="002739C7" w:rsidP="00C72169">
      <w:pPr>
        <w:rPr>
          <w:b/>
          <w:bCs/>
          <w:sz w:val="36"/>
          <w:szCs w:val="36"/>
        </w:rPr>
      </w:pPr>
      <w:r w:rsidRPr="00363970">
        <w:rPr>
          <w:b/>
          <w:bCs/>
          <w:sz w:val="36"/>
          <w:szCs w:val="36"/>
        </w:rPr>
        <w:t>IAWA Bulletin New Series</w:t>
      </w:r>
      <w:bookmarkStart w:id="0" w:name="_GoBack"/>
      <w:bookmarkEnd w:id="0"/>
      <w:r w:rsidR="00C72169" w:rsidRPr="00C72169">
        <w:rPr>
          <w:b/>
          <w:bCs/>
          <w:sz w:val="36"/>
          <w:szCs w:val="36"/>
        </w:rPr>
        <w:t xml:space="preserve"> - Volume 13(1)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Sherwin </w:t>
            </w:r>
            <w:proofErr w:type="spellStart"/>
            <w:r w:rsidRPr="00C72169">
              <w:t>Carlquist</w:t>
            </w:r>
            <w:proofErr w:type="spellEnd"/>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 xml:space="preserve">Wood Anatomy and Stem of </w:t>
            </w:r>
            <w:proofErr w:type="spellStart"/>
            <w:r w:rsidRPr="00C72169">
              <w:rPr>
                <w:b/>
                <w:bCs/>
              </w:rPr>
              <w:t>Chloranthus</w:t>
            </w:r>
            <w:proofErr w:type="spellEnd"/>
            <w:r w:rsidRPr="00C72169">
              <w:rPr>
                <w:b/>
                <w:bCs/>
              </w:rPr>
              <w:t xml:space="preserve">; Summary of Wood Anatomy of </w:t>
            </w:r>
            <w:proofErr w:type="spellStart"/>
            <w:r w:rsidRPr="00C72169">
              <w:rPr>
                <w:b/>
                <w:bCs/>
              </w:rPr>
              <w:t>Chloranthaceae</w:t>
            </w:r>
            <w:proofErr w:type="spellEnd"/>
            <w:r w:rsidRPr="00C72169">
              <w:rPr>
                <w:b/>
                <w:bCs/>
              </w:rPr>
              <w:t xml:space="preserve">, with Comments on Relationships, </w:t>
            </w:r>
            <w:proofErr w:type="spellStart"/>
            <w:r w:rsidRPr="00C72169">
              <w:rPr>
                <w:b/>
                <w:bCs/>
              </w:rPr>
              <w:t>Vessellessness</w:t>
            </w:r>
            <w:proofErr w:type="spellEnd"/>
            <w:r w:rsidRPr="00C72169">
              <w:rPr>
                <w:b/>
                <w:bCs/>
              </w:rPr>
              <w:t>, and The Origin of Monocotyledons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3-16</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endodermis in stems; </w:t>
            </w:r>
            <w:proofErr w:type="spellStart"/>
            <w:r w:rsidRPr="00C72169">
              <w:t>Hedyosmum</w:t>
            </w:r>
            <w:proofErr w:type="spellEnd"/>
            <w:r w:rsidRPr="00C72169">
              <w:t xml:space="preserve">; </w:t>
            </w:r>
            <w:proofErr w:type="spellStart"/>
            <w:r w:rsidRPr="00C72169">
              <w:t>Piperales</w:t>
            </w:r>
            <w:proofErr w:type="spellEnd"/>
            <w:r w:rsidRPr="00C72169">
              <w:t xml:space="preserve">; wood anatomy; </w:t>
            </w:r>
            <w:proofErr w:type="spellStart"/>
            <w:r w:rsidRPr="00C72169">
              <w:t>Ascarina</w:t>
            </w:r>
            <w:proofErr w:type="spellEnd"/>
            <w:r w:rsidRPr="00C72169">
              <w:t xml:space="preserve">; </w:t>
            </w:r>
            <w:proofErr w:type="spellStart"/>
            <w:r w:rsidRPr="00C72169">
              <w:t>Sarcandra</w:t>
            </w:r>
            <w:proofErr w:type="spellEnd"/>
            <w:r w:rsidRPr="00C72169">
              <w:t xml:space="preserve">; </w:t>
            </w:r>
            <w:proofErr w:type="spellStart"/>
            <w:r w:rsidRPr="00C72169">
              <w:t>Chloranthaceae</w:t>
            </w:r>
            <w:proofErr w:type="spellEnd"/>
            <w:r w:rsidRPr="00C72169">
              <w:t xml:space="preserve">; vessel evolution; </w:t>
            </w:r>
            <w:proofErr w:type="spellStart"/>
            <w:r w:rsidRPr="00C72169">
              <w:t>Chloranthus</w:t>
            </w:r>
            <w:proofErr w:type="spellEnd"/>
            <w:r w:rsidRPr="00C72169">
              <w:t>; monocotyledon origins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In contrast to the monopodial </w:t>
            </w:r>
            <w:proofErr w:type="spellStart"/>
            <w:r w:rsidRPr="00C72169">
              <w:t>Ascarina</w:t>
            </w:r>
            <w:proofErr w:type="spellEnd"/>
            <w:r w:rsidRPr="00C72169">
              <w:t xml:space="preserve"> and </w:t>
            </w:r>
            <w:proofErr w:type="spellStart"/>
            <w:r w:rsidRPr="00C72169">
              <w:t>Hedyosmwn</w:t>
            </w:r>
            <w:proofErr w:type="spellEnd"/>
            <w:r w:rsidRPr="00C72169">
              <w:t xml:space="preserve">, </w:t>
            </w:r>
            <w:proofErr w:type="spellStart"/>
            <w:r w:rsidRPr="00C72169">
              <w:t>Chloranthus</w:t>
            </w:r>
            <w:proofErr w:type="spellEnd"/>
            <w:r w:rsidRPr="00C72169">
              <w:t xml:space="preserve"> and </w:t>
            </w:r>
            <w:proofErr w:type="spellStart"/>
            <w:r w:rsidRPr="00C72169">
              <w:t>Sarcandra</w:t>
            </w:r>
            <w:proofErr w:type="spellEnd"/>
            <w:r w:rsidRPr="00C72169">
              <w:t xml:space="preserve"> are sympodial. </w:t>
            </w:r>
            <w:proofErr w:type="spellStart"/>
            <w:r w:rsidRPr="00C72169">
              <w:t>Sarcandra</w:t>
            </w:r>
            <w:proofErr w:type="spellEnd"/>
            <w:r w:rsidRPr="00C72169">
              <w:t xml:space="preserve"> and C. erectus have woody canes of finite duration, whereas other species of </w:t>
            </w:r>
            <w:proofErr w:type="spellStart"/>
            <w:r w:rsidRPr="00C72169">
              <w:t>Chloranthus</w:t>
            </w:r>
            <w:proofErr w:type="spellEnd"/>
            <w:r w:rsidRPr="00C72169">
              <w:t xml:space="preserve"> have shoots of one year's </w:t>
            </w:r>
            <w:proofErr w:type="gramStart"/>
            <w:r w:rsidRPr="00C72169">
              <w:t>duration ;</w:t>
            </w:r>
            <w:proofErr w:type="gramEnd"/>
            <w:r w:rsidRPr="00C72169">
              <w:t xml:space="preserve"> these latter species have second year wood only on rhizome s, not on upright shoots. Rhizome portions transitional to upright sterns were selected for study. </w:t>
            </w:r>
            <w:proofErr w:type="spellStart"/>
            <w:r w:rsidRPr="00C72169">
              <w:t>Chloranthus</w:t>
            </w:r>
            <w:proofErr w:type="spellEnd"/>
            <w:r w:rsidRPr="00C72169">
              <w:t xml:space="preserve"> erectus has abundant septate </w:t>
            </w:r>
            <w:proofErr w:type="spellStart"/>
            <w:r w:rsidRPr="00C72169">
              <w:t>fibretracheids</w:t>
            </w:r>
            <w:proofErr w:type="spellEnd"/>
            <w:r w:rsidRPr="00C72169">
              <w:t xml:space="preserve">, C. japonicus none, and two other species a few. </w:t>
            </w:r>
            <w:proofErr w:type="spellStart"/>
            <w:r w:rsidRPr="00C72169">
              <w:t>Chloranthus</w:t>
            </w:r>
            <w:proofErr w:type="spellEnd"/>
            <w:r w:rsidRPr="00C72169">
              <w:t xml:space="preserve"> (and </w:t>
            </w:r>
            <w:proofErr w:type="spellStart"/>
            <w:r w:rsidRPr="00C72169">
              <w:t>Sarcandra</w:t>
            </w:r>
            <w:proofErr w:type="spellEnd"/>
            <w:r w:rsidRPr="00C72169">
              <w:t xml:space="preserve">) have rays of two distinct sizes in wood: rays that are extensions of primary rays, and </w:t>
            </w:r>
            <w:proofErr w:type="spellStart"/>
            <w:r w:rsidRPr="00C72169">
              <w:t>uniseriate</w:t>
            </w:r>
            <w:proofErr w:type="spellEnd"/>
            <w:r w:rsidRPr="00C72169">
              <w:t xml:space="preserve"> and </w:t>
            </w:r>
            <w:proofErr w:type="spellStart"/>
            <w:r w:rsidRPr="00C72169">
              <w:t>biseriate</w:t>
            </w:r>
            <w:proofErr w:type="spellEnd"/>
            <w:r w:rsidRPr="00C72169">
              <w:t xml:space="preserve"> rays in fascicular </w:t>
            </w:r>
            <w:proofErr w:type="gramStart"/>
            <w:r w:rsidRPr="00C72169">
              <w:t>areas .</w:t>
            </w:r>
            <w:proofErr w:type="gramEnd"/>
            <w:r w:rsidRPr="00C72169">
              <w:t xml:space="preserve"> Wood anatomy of each of the four genera can be </w:t>
            </w:r>
            <w:proofErr w:type="spellStart"/>
            <w:r w:rsidRPr="00C72169">
              <w:t>characterised</w:t>
            </w:r>
            <w:proofErr w:type="spellEnd"/>
            <w:r w:rsidRPr="00C72169">
              <w:t xml:space="preserve">, and is </w:t>
            </w:r>
            <w:proofErr w:type="spellStart"/>
            <w:r w:rsidRPr="00C72169">
              <w:t>summarised</w:t>
            </w:r>
            <w:proofErr w:type="spellEnd"/>
            <w:r w:rsidRPr="00C72169">
              <w:t xml:space="preserve"> in the form of a key. Except for primitiveness of vessels, wood of </w:t>
            </w:r>
            <w:proofErr w:type="spellStart"/>
            <w:r w:rsidRPr="00C72169">
              <w:t>Chloranthaceae</w:t>
            </w:r>
            <w:proofErr w:type="spellEnd"/>
            <w:r w:rsidRPr="00C72169">
              <w:t xml:space="preserve"> is very </w:t>
            </w:r>
            <w:proofErr w:type="gramStart"/>
            <w:r w:rsidRPr="00C72169">
              <w:t>similar to</w:t>
            </w:r>
            <w:proofErr w:type="gramEnd"/>
            <w:r w:rsidRPr="00C72169">
              <w:t xml:space="preserve"> that of </w:t>
            </w:r>
            <w:proofErr w:type="spellStart"/>
            <w:r w:rsidRPr="00C72169">
              <w:t>Lactoridaceae</w:t>
            </w:r>
            <w:proofErr w:type="spellEnd"/>
            <w:r w:rsidRPr="00C72169">
              <w:t xml:space="preserve"> and </w:t>
            </w:r>
            <w:proofErr w:type="spellStart"/>
            <w:r w:rsidRPr="00C72169">
              <w:t>Piperaceae</w:t>
            </w:r>
            <w:proofErr w:type="spellEnd"/>
            <w:r w:rsidRPr="00C72169">
              <w:t xml:space="preserve">, and this probably indicates a close phyletic relationship. The large rays of </w:t>
            </w:r>
            <w:proofErr w:type="spellStart"/>
            <w:r w:rsidRPr="00C72169">
              <w:t>chloranthaceous</w:t>
            </w:r>
            <w:proofErr w:type="spellEnd"/>
            <w:r w:rsidRPr="00C72169">
              <w:t xml:space="preserve"> wood, little modified from primary rays and with upright cells </w:t>
            </w:r>
            <w:proofErr w:type="gramStart"/>
            <w:r w:rsidRPr="00C72169">
              <w:t>predominantly ,</w:t>
            </w:r>
            <w:proofErr w:type="gramEnd"/>
            <w:r w:rsidRPr="00C72169">
              <w:t xml:space="preserve"> are indicative of some degree of </w:t>
            </w:r>
            <w:proofErr w:type="spellStart"/>
            <w:r w:rsidRPr="00C72169">
              <w:t>herbaceousness</w:t>
            </w:r>
            <w:proofErr w:type="spellEnd"/>
            <w:r w:rsidRPr="00C72169">
              <w:t xml:space="preserve"> and some degree of secondary woodiness. Scattered bundles and </w:t>
            </w:r>
            <w:proofErr w:type="spellStart"/>
            <w:r w:rsidRPr="00C72169">
              <w:t>multilacunar</w:t>
            </w:r>
            <w:proofErr w:type="spellEnd"/>
            <w:r w:rsidRPr="00C72169">
              <w:t xml:space="preserve"> nodes, characteristics of monocotyledons, are absent in </w:t>
            </w:r>
            <w:proofErr w:type="spellStart"/>
            <w:r w:rsidRPr="00C72169">
              <w:t>Chloranthaceae</w:t>
            </w:r>
            <w:proofErr w:type="spellEnd"/>
            <w:r w:rsidRPr="00C72169">
              <w:t xml:space="preserve"> but present in </w:t>
            </w:r>
            <w:proofErr w:type="spellStart"/>
            <w:r w:rsidRPr="00C72169">
              <w:t>Piperaceae</w:t>
            </w:r>
            <w:proofErr w:type="spellEnd"/>
            <w:r w:rsidRPr="00C72169">
              <w:t xml:space="preserve">. The sympodial habit of </w:t>
            </w:r>
            <w:proofErr w:type="spellStart"/>
            <w:r w:rsidRPr="00C72169">
              <w:t>Chloranthus</w:t>
            </w:r>
            <w:proofErr w:type="spellEnd"/>
            <w:r w:rsidRPr="00C72169">
              <w:t xml:space="preserve"> and </w:t>
            </w:r>
            <w:proofErr w:type="spellStart"/>
            <w:r w:rsidRPr="00C72169">
              <w:t>Sarcandra</w:t>
            </w:r>
            <w:proofErr w:type="spellEnd"/>
            <w:r w:rsidRPr="00C72169">
              <w:t xml:space="preserve">, and the presence of vessel s in roots but not in sterns of </w:t>
            </w:r>
            <w:proofErr w:type="spellStart"/>
            <w:r w:rsidRPr="00C72169">
              <w:t>Sarcandra</w:t>
            </w:r>
            <w:proofErr w:type="spellEnd"/>
            <w:r w:rsidRPr="00C72169">
              <w:t xml:space="preserve"> are conditions like those basic to origin of monocotyledons. The possibility that </w:t>
            </w:r>
            <w:proofErr w:type="spellStart"/>
            <w:r w:rsidRPr="00C72169">
              <w:t>Chloranthaceae</w:t>
            </w:r>
            <w:proofErr w:type="spellEnd"/>
            <w:r w:rsidRPr="00C72169">
              <w:t xml:space="preserve"> are close to </w:t>
            </w:r>
            <w:proofErr w:type="spellStart"/>
            <w:r w:rsidRPr="00C72169">
              <w:t>Piperales</w:t>
            </w:r>
            <w:proofErr w:type="spellEnd"/>
            <w:r w:rsidRPr="00C72169">
              <w:t xml:space="preserve"> and that these groups are close to origin of monocotyledons should be considered. Some </w:t>
            </w:r>
            <w:proofErr w:type="spellStart"/>
            <w:r w:rsidRPr="00C72169">
              <w:t>cladists</w:t>
            </w:r>
            <w:proofErr w:type="spellEnd"/>
            <w:r w:rsidRPr="00C72169">
              <w:t xml:space="preserve"> have </w:t>
            </w:r>
            <w:proofErr w:type="spellStart"/>
            <w:r w:rsidRPr="00C72169">
              <w:t>hypothesised</w:t>
            </w:r>
            <w:proofErr w:type="spellEnd"/>
            <w:r w:rsidRPr="00C72169">
              <w:t xml:space="preserve"> that secondary </w:t>
            </w:r>
            <w:proofErr w:type="spellStart"/>
            <w:r w:rsidRPr="00C72169">
              <w:t>vessellessness</w:t>
            </w:r>
            <w:proofErr w:type="spellEnd"/>
            <w:r w:rsidRPr="00C72169">
              <w:t xml:space="preserve"> is polyphyletic in dicotyledons. While these cases are theoretically possible, the histological and ecological </w:t>
            </w:r>
            <w:proofErr w:type="spellStart"/>
            <w:r w:rsidRPr="00C72169">
              <w:t>seenarios</w:t>
            </w:r>
            <w:proofErr w:type="spellEnd"/>
            <w:r w:rsidRPr="00C72169">
              <w:t xml:space="preserve"> that must be </w:t>
            </w:r>
            <w:proofErr w:type="spellStart"/>
            <w:r w:rsidRPr="00C72169">
              <w:t>hypothesised</w:t>
            </w:r>
            <w:proofErr w:type="spellEnd"/>
            <w:r w:rsidRPr="00C72169">
              <w:t xml:space="preserve"> for these events are ignored by </w:t>
            </w:r>
            <w:proofErr w:type="spellStart"/>
            <w:r w:rsidRPr="00C72169">
              <w:t>cladists</w:t>
            </w:r>
            <w:proofErr w:type="spellEnd"/>
            <w:r w:rsidRPr="00C72169">
              <w:t xml:space="preserve">; most of these </w:t>
            </w:r>
            <w:proofErr w:type="spellStart"/>
            <w:r w:rsidRPr="00C72169">
              <w:t>seenarios</w:t>
            </w:r>
            <w:proofErr w:type="spellEnd"/>
            <w:r w:rsidRPr="00C72169">
              <w:t xml:space="preserve"> are unlikely for reasons explored here, although a few are still worthy of consideration. Stern endodermis is reported for three species of </w:t>
            </w:r>
            <w:proofErr w:type="spellStart"/>
            <w:r w:rsidRPr="00C72169">
              <w:t>Chloranthus</w:t>
            </w:r>
            <w:proofErr w:type="spellEnd"/>
            <w:r w:rsidRPr="00C72169">
              <w:t>.</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4" w:history="1">
              <w:r w:rsidR="00C72169" w:rsidRPr="00C72169">
                <w:rPr>
                  <w:rStyle w:val="a3"/>
                </w:rPr>
                <w:t>10.1163/22941932-90000556</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R. </w:t>
            </w:r>
            <w:proofErr w:type="spellStart"/>
            <w:r w:rsidRPr="00C72169">
              <w:t>Vijendra</w:t>
            </w:r>
            <w:proofErr w:type="spellEnd"/>
            <w:r w:rsidRPr="00C72169">
              <w:t xml:space="preserve"> Rao; R. </w:t>
            </w:r>
            <w:proofErr w:type="spellStart"/>
            <w:r w:rsidRPr="00C72169">
              <w:t>Dayal</w:t>
            </w:r>
            <w:proofErr w:type="spellEnd"/>
            <w:r w:rsidRPr="00C72169">
              <w:t xml:space="preserve">; B.L. Sharma; </w:t>
            </w:r>
            <w:proofErr w:type="spellStart"/>
            <w:r w:rsidRPr="00C72169">
              <w:t>Luxmi</w:t>
            </w:r>
            <w:proofErr w:type="spellEnd"/>
            <w:r w:rsidRPr="00C72169">
              <w:t xml:space="preserve"> Chauhan</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 xml:space="preserve">Reinvestigation of the Wood Structure of </w:t>
            </w:r>
            <w:proofErr w:type="spellStart"/>
            <w:r w:rsidRPr="00C72169">
              <w:rPr>
                <w:b/>
                <w:bCs/>
              </w:rPr>
              <w:t>Thottea</w:t>
            </w:r>
            <w:proofErr w:type="spellEnd"/>
            <w:r w:rsidRPr="00C72169">
              <w:rPr>
                <w:b/>
                <w:bCs/>
              </w:rPr>
              <w:t xml:space="preserve"> </w:t>
            </w:r>
            <w:proofErr w:type="spellStart"/>
            <w:r w:rsidRPr="00C72169">
              <w:rPr>
                <w:b/>
                <w:bCs/>
              </w:rPr>
              <w:t>Siliquosa</w:t>
            </w:r>
            <w:proofErr w:type="spellEnd"/>
            <w:r w:rsidRPr="00C72169">
              <w:rPr>
                <w:b/>
                <w:bCs/>
              </w:rPr>
              <w:t xml:space="preserve"> (</w:t>
            </w:r>
            <w:proofErr w:type="spellStart"/>
            <w:r w:rsidRPr="00C72169">
              <w:rPr>
                <w:b/>
                <w:bCs/>
              </w:rPr>
              <w:t>Aristolochiaceae</w:t>
            </w:r>
            <w:proofErr w:type="spellEnd"/>
            <w:r w:rsidRPr="00C72169">
              <w:rPr>
                <w:b/>
                <w:bCs/>
              </w:rPr>
              <w:t>)</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17-20</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roofErr w:type="spellStart"/>
            <w:r w:rsidRPr="00C72169">
              <w:t>Thottea</w:t>
            </w:r>
            <w:proofErr w:type="spellEnd"/>
            <w:r w:rsidRPr="00C72169">
              <w:t xml:space="preserve"> </w:t>
            </w:r>
            <w:proofErr w:type="spellStart"/>
            <w:r w:rsidRPr="00C72169">
              <w:t>siliquosa</w:t>
            </w:r>
            <w:proofErr w:type="spellEnd"/>
            <w:r w:rsidRPr="00C72169">
              <w:t>; wood anatomy</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An accurate </w:t>
            </w:r>
            <w:proofErr w:type="spellStart"/>
            <w:r w:rsidRPr="00C72169">
              <w:t>deseription</w:t>
            </w:r>
            <w:proofErr w:type="spellEnd"/>
            <w:r w:rsidRPr="00C72169">
              <w:t xml:space="preserve"> of the wood structure of </w:t>
            </w:r>
            <w:proofErr w:type="spellStart"/>
            <w:r w:rsidRPr="00C72169">
              <w:t>Thottea</w:t>
            </w:r>
            <w:proofErr w:type="spellEnd"/>
            <w:r w:rsidRPr="00C72169">
              <w:t xml:space="preserve"> </w:t>
            </w:r>
            <w:proofErr w:type="spellStart"/>
            <w:r w:rsidRPr="00C72169">
              <w:t>siliquosa</w:t>
            </w:r>
            <w:proofErr w:type="spellEnd"/>
            <w:r w:rsidRPr="00C72169">
              <w:t xml:space="preserve"> is presented for the first time. Earlier </w:t>
            </w:r>
            <w:proofErr w:type="spellStart"/>
            <w:r w:rsidRPr="00C72169">
              <w:t>deseriptions</w:t>
            </w:r>
            <w:proofErr w:type="spellEnd"/>
            <w:r w:rsidRPr="00C72169">
              <w:t xml:space="preserve"> for this species were based on </w:t>
            </w:r>
            <w:proofErr w:type="spellStart"/>
            <w:r w:rsidRPr="00C72169">
              <w:t>ineorreetly</w:t>
            </w:r>
            <w:proofErr w:type="spellEnd"/>
            <w:r w:rsidRPr="00C72169">
              <w:t xml:space="preserve"> identified </w:t>
            </w:r>
            <w:proofErr w:type="spellStart"/>
            <w:r w:rsidRPr="00C72169">
              <w:t>sampies</w:t>
            </w:r>
            <w:proofErr w:type="spellEnd"/>
            <w:r w:rsidRPr="00C72169">
              <w:t xml:space="preserve">. Wood is diffuse-porous with </w:t>
            </w:r>
            <w:proofErr w:type="spellStart"/>
            <w:r w:rsidRPr="00C72169">
              <w:t>distinet</w:t>
            </w:r>
            <w:proofErr w:type="spellEnd"/>
            <w:r w:rsidRPr="00C72169">
              <w:t xml:space="preserve"> growth rings. Vessels are </w:t>
            </w:r>
            <w:proofErr w:type="gramStart"/>
            <w:r w:rsidRPr="00C72169">
              <w:t>small ,</w:t>
            </w:r>
            <w:proofErr w:type="gramEnd"/>
            <w:r w:rsidRPr="00C72169">
              <w:t xml:space="preserve"> solitary, in radial multiples and also in clusters, forming a </w:t>
            </w:r>
            <w:proofErr w:type="spellStart"/>
            <w:r w:rsidRPr="00C72169">
              <w:t>distinet</w:t>
            </w:r>
            <w:proofErr w:type="spellEnd"/>
            <w:r w:rsidRPr="00C72169">
              <w:t xml:space="preserve"> radial pattern. Perforations are simple, </w:t>
            </w:r>
            <w:proofErr w:type="spellStart"/>
            <w:r w:rsidRPr="00C72169">
              <w:t>intervessel</w:t>
            </w:r>
            <w:proofErr w:type="spellEnd"/>
            <w:r w:rsidRPr="00C72169">
              <w:t xml:space="preserve"> pits small, alternate without vestures. </w:t>
            </w:r>
            <w:proofErr w:type="spellStart"/>
            <w:r w:rsidRPr="00C72169">
              <w:t>Vaseular</w:t>
            </w:r>
            <w:proofErr w:type="spellEnd"/>
            <w:r w:rsidRPr="00C72169">
              <w:t xml:space="preserve"> </w:t>
            </w:r>
            <w:proofErr w:type="spellStart"/>
            <w:r w:rsidRPr="00C72169">
              <w:t>traehe</w:t>
            </w:r>
            <w:proofErr w:type="spellEnd"/>
            <w:r w:rsidRPr="00C72169">
              <w:t xml:space="preserve"> ids are present. Axial </w:t>
            </w:r>
            <w:proofErr w:type="spellStart"/>
            <w:r w:rsidRPr="00C72169">
              <w:t>parenehyma</w:t>
            </w:r>
            <w:proofErr w:type="spellEnd"/>
            <w:r w:rsidRPr="00C72169">
              <w:t xml:space="preserve"> is diffuse and diffuse-in-aggregates. Rays are very high and broad, heterogeneous. </w:t>
            </w:r>
            <w:proofErr w:type="spellStart"/>
            <w:r w:rsidRPr="00C72169">
              <w:t>Fibres</w:t>
            </w:r>
            <w:proofErr w:type="spellEnd"/>
            <w:r w:rsidRPr="00C72169">
              <w:t xml:space="preserve"> thick-walled and non-septate. Oil </w:t>
            </w:r>
            <w:proofErr w:type="spellStart"/>
            <w:r w:rsidRPr="00C72169">
              <w:t>eells</w:t>
            </w:r>
            <w:proofErr w:type="spellEnd"/>
            <w:r w:rsidRPr="00C72169">
              <w:t xml:space="preserve"> are absent.</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5" w:history="1">
              <w:r w:rsidR="00C72169" w:rsidRPr="00C72169">
                <w:rPr>
                  <w:rStyle w:val="a3"/>
                </w:rPr>
                <w:t>10.1163/22941932-90000557</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2169" w:rsidRPr="002739C7"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lang w:val="de-DE"/>
              </w:rPr>
            </w:pPr>
            <w:r w:rsidRPr="00C72169">
              <w:rPr>
                <w:lang w:val="de-DE"/>
              </w:rPr>
              <w:t>Shu-Yin Zhang; Pieter Baas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 xml:space="preserve">Wood Anatomy of Trees and Shrubs from China. iii. </w:t>
            </w:r>
            <w:proofErr w:type="spellStart"/>
            <w:r w:rsidRPr="00C72169">
              <w:rPr>
                <w:b/>
                <w:bCs/>
              </w:rPr>
              <w:t>Rosaceae</w:t>
            </w:r>
            <w:proofErr w:type="spellEnd"/>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21-91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roofErr w:type="spellStart"/>
            <w:r w:rsidRPr="00C72169">
              <w:t>Rosaceae</w:t>
            </w:r>
            <w:proofErr w:type="spellEnd"/>
            <w:r w:rsidRPr="00C72169">
              <w:t xml:space="preserve">; wood identification; </w:t>
            </w:r>
            <w:proofErr w:type="spellStart"/>
            <w:r w:rsidRPr="00C72169">
              <w:t>Maloideae</w:t>
            </w:r>
            <w:proofErr w:type="spellEnd"/>
            <w:r w:rsidRPr="00C72169">
              <w:t xml:space="preserve">; comparative wood anatomy; </w:t>
            </w:r>
            <w:proofErr w:type="spellStart"/>
            <w:r w:rsidRPr="00C72169">
              <w:t>Spiraeoideae</w:t>
            </w:r>
            <w:proofErr w:type="spellEnd"/>
            <w:r w:rsidRPr="00C72169">
              <w:t xml:space="preserve">; </w:t>
            </w:r>
            <w:proofErr w:type="spellStart"/>
            <w:r w:rsidRPr="00C72169">
              <w:t>Rosoideae</w:t>
            </w:r>
            <w:proofErr w:type="spellEnd"/>
            <w:r w:rsidRPr="00C72169">
              <w:t xml:space="preserve">; </w:t>
            </w:r>
            <w:proofErr w:type="spellStart"/>
            <w:r w:rsidRPr="00C72169">
              <w:t>Prunoideae</w:t>
            </w:r>
            <w:proofErr w:type="spellEnd"/>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The wood anatomy of 162 species from China, belonging to 30 genera of the </w:t>
            </w:r>
            <w:proofErr w:type="spellStart"/>
            <w:r w:rsidRPr="00C72169">
              <w:t>Rosaceae</w:t>
            </w:r>
            <w:proofErr w:type="spellEnd"/>
            <w:r w:rsidRPr="00C72169">
              <w:t xml:space="preserve"> is described. The structural diversity is documented in a survey of characters, a family description, generic descriptions and tables. A key to the genera or groups of genera is presented. </w:t>
            </w:r>
            <w:proofErr w:type="gramStart"/>
            <w:r w:rsidRPr="00C72169">
              <w:t>A number of</w:t>
            </w:r>
            <w:proofErr w:type="gramEnd"/>
            <w:r w:rsidRPr="00C72169">
              <w:t xml:space="preserve"> genera is described wood anatomically for the first time. Vestured pits noted in some </w:t>
            </w:r>
            <w:proofErr w:type="spellStart"/>
            <w:r w:rsidRPr="00C72169">
              <w:t>Spiraea</w:t>
            </w:r>
            <w:proofErr w:type="spellEnd"/>
            <w:r w:rsidRPr="00C72169">
              <w:t xml:space="preserve"> species are newly recorded for the </w:t>
            </w:r>
            <w:proofErr w:type="spellStart"/>
            <w:proofErr w:type="gramStart"/>
            <w:r w:rsidRPr="00C72169">
              <w:t>farnily</w:t>
            </w:r>
            <w:proofErr w:type="spellEnd"/>
            <w:r w:rsidRPr="00C72169">
              <w:t xml:space="preserve"> .</w:t>
            </w:r>
            <w:proofErr w:type="gramEnd"/>
            <w:r w:rsidRPr="00C72169">
              <w:t xml:space="preserve"> The phenomenon of </w:t>
            </w:r>
            <w:proofErr w:type="spellStart"/>
            <w:r w:rsidRPr="00C72169">
              <w:t>fibre</w:t>
            </w:r>
            <w:proofErr w:type="spellEnd"/>
            <w:r w:rsidRPr="00C72169">
              <w:t xml:space="preserve"> dimorphism in </w:t>
            </w:r>
            <w:proofErr w:type="spellStart"/>
            <w:r w:rsidRPr="00C72169">
              <w:t>Spiraea</w:t>
            </w:r>
            <w:proofErr w:type="spellEnd"/>
            <w:r w:rsidRPr="00C72169">
              <w:t xml:space="preserve"> is </w:t>
            </w:r>
            <w:proofErr w:type="spellStart"/>
            <w:r w:rsidRPr="00C72169">
              <w:t>analysed</w:t>
            </w:r>
            <w:proofErr w:type="spellEnd"/>
            <w:r w:rsidRPr="00C72169">
              <w:t xml:space="preserve"> in detail.</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6" w:history="1">
              <w:r w:rsidR="00C72169" w:rsidRPr="00C72169">
                <w:rPr>
                  <w:rStyle w:val="a3"/>
                </w:rPr>
                <w:t>10.1163/22941932-90000558</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Editors IAWA Journal</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Reviews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92-92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7" w:history="1">
              <w:r w:rsidR="00C72169" w:rsidRPr="00C72169">
                <w:rPr>
                  <w:rStyle w:val="a3"/>
                </w:rPr>
                <w:t>10.1163/22941932-90000559</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roofErr w:type="spellStart"/>
            <w:r w:rsidRPr="00C72169">
              <w:t>Fukuju</w:t>
            </w:r>
            <w:proofErr w:type="spellEnd"/>
            <w:r w:rsidRPr="00C72169">
              <w:t xml:space="preserve"> Yamamoto</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Effects of Depth of Flooding on Growth and Anatomy of Stems and Knee Roots of Taxodium Distichum</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93-104</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ethylene; Taxodium distichum; flooding; </w:t>
            </w:r>
            <w:proofErr w:type="spellStart"/>
            <w:r w:rsidRPr="00C72169">
              <w:t>hypenrophied</w:t>
            </w:r>
            <w:proofErr w:type="spellEnd"/>
            <w:r w:rsidRPr="00C72169">
              <w:t xml:space="preserve"> stems; knee roots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Depth of flooding of Taxodium distichum trees </w:t>
            </w:r>
            <w:proofErr w:type="spellStart"/>
            <w:r w:rsidRPr="00C72169">
              <w:t>influeneedin</w:t>
            </w:r>
            <w:proofErr w:type="spellEnd"/>
            <w:r w:rsidRPr="00C72169">
              <w:t xml:space="preserve"> height and </w:t>
            </w:r>
            <w:proofErr w:type="spellStart"/>
            <w:r w:rsidRPr="00C72169">
              <w:t>diametergrowth</w:t>
            </w:r>
            <w:proofErr w:type="spellEnd"/>
            <w:r w:rsidRPr="00C72169">
              <w:t xml:space="preserve">, formation of knee </w:t>
            </w:r>
            <w:proofErr w:type="gramStart"/>
            <w:r w:rsidRPr="00C72169">
              <w:t>roots ,</w:t>
            </w:r>
            <w:proofErr w:type="gramEnd"/>
            <w:r w:rsidRPr="00C72169">
              <w:t xml:space="preserve"> and anatomy of sterns and knee roots. Height growth was progressively </w:t>
            </w:r>
            <w:proofErr w:type="spellStart"/>
            <w:r w:rsidRPr="00C72169">
              <w:t>redueed</w:t>
            </w:r>
            <w:proofErr w:type="spellEnd"/>
            <w:r w:rsidRPr="00C72169">
              <w:t xml:space="preserve"> and diameter growth was </w:t>
            </w:r>
            <w:proofErr w:type="spellStart"/>
            <w:r w:rsidRPr="00C72169">
              <w:t>inereased</w:t>
            </w:r>
            <w:proofErr w:type="spellEnd"/>
            <w:r w:rsidRPr="00C72169">
              <w:t xml:space="preserve"> as the level of the flood water was </w:t>
            </w:r>
            <w:proofErr w:type="spellStart"/>
            <w:r w:rsidRPr="00C72169">
              <w:t>inereased</w:t>
            </w:r>
            <w:proofErr w:type="spellEnd"/>
            <w:r w:rsidRPr="00C72169">
              <w:t xml:space="preserve">. Formation of knee roots </w:t>
            </w:r>
            <w:proofErr w:type="spellStart"/>
            <w:r w:rsidRPr="00C72169">
              <w:t>deereased</w:t>
            </w:r>
            <w:proofErr w:type="spellEnd"/>
            <w:r w:rsidRPr="00C72169">
              <w:t xml:space="preserve"> as the depth of flooding </w:t>
            </w:r>
            <w:proofErr w:type="spellStart"/>
            <w:r w:rsidRPr="00C72169">
              <w:t>inereased</w:t>
            </w:r>
            <w:proofErr w:type="spellEnd"/>
            <w:r w:rsidRPr="00C72169">
              <w:t xml:space="preserve">. </w:t>
            </w:r>
            <w:proofErr w:type="spellStart"/>
            <w:r w:rsidRPr="00C72169">
              <w:t>Traeheids</w:t>
            </w:r>
            <w:proofErr w:type="spellEnd"/>
            <w:r w:rsidRPr="00C72169">
              <w:t xml:space="preserve"> in the submerged portions of sterns of deeply flooded trees were shorter, slightly wider, and had thinner walls than </w:t>
            </w:r>
            <w:proofErr w:type="spellStart"/>
            <w:r w:rsidRPr="00C72169">
              <w:t>traeheids</w:t>
            </w:r>
            <w:proofErr w:type="spellEnd"/>
            <w:r w:rsidRPr="00C72169">
              <w:t xml:space="preserve"> of shallowly flooded trees. The inner bark of the submerged sterns of deeply flooded trees had wider </w:t>
            </w:r>
            <w:proofErr w:type="spellStart"/>
            <w:r w:rsidRPr="00C72169">
              <w:t>phloemrays</w:t>
            </w:r>
            <w:proofErr w:type="spellEnd"/>
            <w:r w:rsidRPr="00C72169">
              <w:t xml:space="preserve"> and more intercellular space than the bark of shallowly flooded trees. The xylem anatomy of knee roots resembled that of the xylem in the submerged portions of sterns of deeply flooded trees. Flooding stimulated ethylene </w:t>
            </w:r>
            <w:proofErr w:type="spellStart"/>
            <w:r w:rsidRPr="00C72169">
              <w:t>produetion</w:t>
            </w:r>
            <w:proofErr w:type="spellEnd"/>
            <w:r w:rsidRPr="00C72169">
              <w:t xml:space="preserve"> by stern bark and </w:t>
            </w:r>
            <w:proofErr w:type="spellStart"/>
            <w:r w:rsidRPr="00C72169">
              <w:t>apieal</w:t>
            </w:r>
            <w:proofErr w:type="spellEnd"/>
            <w:r w:rsidRPr="00C72169">
              <w:t xml:space="preserve"> portions of knee roots. An </w:t>
            </w:r>
            <w:proofErr w:type="spellStart"/>
            <w:r w:rsidRPr="00C72169">
              <w:t>interaetive</w:t>
            </w:r>
            <w:proofErr w:type="spellEnd"/>
            <w:r w:rsidRPr="00C72169">
              <w:t xml:space="preserve"> role of ethylene and auxin in anatomical responses of Taxodium to the flooding is postulated.</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8" w:history="1">
              <w:r w:rsidR="00C72169" w:rsidRPr="00C72169">
                <w:rPr>
                  <w:rStyle w:val="a3"/>
                </w:rPr>
                <w:t>10.1163/22941932-90000560</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roofErr w:type="spellStart"/>
            <w:r w:rsidRPr="00C72169">
              <w:t>Keiji</w:t>
            </w:r>
            <w:proofErr w:type="spellEnd"/>
            <w:r w:rsidRPr="00C72169">
              <w:t xml:space="preserve"> </w:t>
            </w:r>
            <w:proofErr w:type="spellStart"/>
            <w:r w:rsidRPr="00C72169">
              <w:t>Takabe</w:t>
            </w:r>
            <w:proofErr w:type="spellEnd"/>
            <w:r w:rsidRPr="00C72169">
              <w:t xml:space="preserve">; Shigeru </w:t>
            </w:r>
            <w:proofErr w:type="spellStart"/>
            <w:r w:rsidRPr="00C72169">
              <w:t>Miyauchi</w:t>
            </w:r>
            <w:proofErr w:type="spellEnd"/>
            <w:r w:rsidRPr="00C72169">
              <w:t xml:space="preserve">; </w:t>
            </w:r>
            <w:proofErr w:type="spellStart"/>
            <w:r w:rsidRPr="00C72169">
              <w:t>Ryuichi</w:t>
            </w:r>
            <w:proofErr w:type="spellEnd"/>
            <w:r w:rsidRPr="00C72169">
              <w:t xml:space="preserve"> </w:t>
            </w:r>
            <w:proofErr w:type="spellStart"/>
            <w:r w:rsidRPr="00C72169">
              <w:t>Tsunoda</w:t>
            </w:r>
            <w:proofErr w:type="spellEnd"/>
            <w:r w:rsidRPr="00C72169">
              <w:t>; Kazumi Fukazawa</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 xml:space="preserve">Distribution of </w:t>
            </w:r>
            <w:proofErr w:type="spellStart"/>
            <w:r w:rsidRPr="00C72169">
              <w:rPr>
                <w:b/>
                <w:bCs/>
              </w:rPr>
              <w:t>Guaiacyl</w:t>
            </w:r>
            <w:proofErr w:type="spellEnd"/>
            <w:r w:rsidRPr="00C72169">
              <w:rPr>
                <w:b/>
                <w:bCs/>
              </w:rPr>
              <w:t xml:space="preserve"> and </w:t>
            </w:r>
            <w:proofErr w:type="spellStart"/>
            <w:r w:rsidRPr="00C72169">
              <w:rPr>
                <w:b/>
                <w:bCs/>
              </w:rPr>
              <w:t>Syringyl</w:t>
            </w:r>
            <w:proofErr w:type="spellEnd"/>
            <w:r w:rsidRPr="00C72169">
              <w:rPr>
                <w:b/>
                <w:bCs/>
              </w:rPr>
              <w:t xml:space="preserve"> </w:t>
            </w:r>
            <w:proofErr w:type="spellStart"/>
            <w:r w:rsidRPr="00C72169">
              <w:rPr>
                <w:b/>
                <w:bCs/>
              </w:rPr>
              <w:t>Lignins</w:t>
            </w:r>
            <w:proofErr w:type="spellEnd"/>
            <w:r w:rsidRPr="00C72169">
              <w:rPr>
                <w:b/>
                <w:bCs/>
              </w:rPr>
              <w:t xml:space="preserve"> in Japanese Beech (Fagus </w:t>
            </w:r>
            <w:proofErr w:type="spellStart"/>
            <w:r w:rsidRPr="00C72169">
              <w:rPr>
                <w:b/>
                <w:bCs/>
              </w:rPr>
              <w:t>Crenata</w:t>
            </w:r>
            <w:proofErr w:type="spellEnd"/>
            <w:r w:rsidRPr="00C72169">
              <w:rPr>
                <w:b/>
                <w:bCs/>
              </w:rPr>
              <w:t>): Variation Within an Annual Ring</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105-112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Beech; </w:t>
            </w:r>
            <w:proofErr w:type="spellStart"/>
            <w:r w:rsidRPr="00C72169">
              <w:t>guaiacyl</w:t>
            </w:r>
            <w:proofErr w:type="spellEnd"/>
            <w:r w:rsidRPr="00C72169">
              <w:t xml:space="preserve"> lignin; ultraviolet absorption spectrum; </w:t>
            </w:r>
            <w:proofErr w:type="spellStart"/>
            <w:r w:rsidRPr="00C72169">
              <w:t>syringyllignin</w:t>
            </w:r>
            <w:proofErr w:type="spellEnd"/>
            <w:r w:rsidRPr="00C72169">
              <w:t xml:space="preserve">; </w:t>
            </w:r>
            <w:proofErr w:type="spellStart"/>
            <w:r w:rsidRPr="00C72169">
              <w:t>Mäule</w:t>
            </w:r>
            <w:proofErr w:type="spellEnd"/>
            <w:r w:rsidRPr="00C72169">
              <w:t xml:space="preserve"> </w:t>
            </w:r>
            <w:proofErr w:type="spellStart"/>
            <w:r w:rsidRPr="00C72169">
              <w:t>colour</w:t>
            </w:r>
            <w:proofErr w:type="spellEnd"/>
            <w:r w:rsidRPr="00C72169">
              <w:t xml:space="preserve"> reaction; Fagus; </w:t>
            </w:r>
            <w:proofErr w:type="spellStart"/>
            <w:r w:rsidRPr="00C72169">
              <w:t>microspectrometry</w:t>
            </w:r>
            <w:proofErr w:type="spellEnd"/>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roofErr w:type="spellStart"/>
            <w:r w:rsidRPr="00C72169">
              <w:t>Microspectrometry</w:t>
            </w:r>
            <w:proofErr w:type="spellEnd"/>
            <w:r w:rsidRPr="00C72169">
              <w:t xml:space="preserve"> is the most definitive technique for obtaining both ultraviolet (UV) and visible light absorption spectra from a very limited area, and this technique allows the determination of lignin distribution throughout an individual cell wall. It is generally accepted that hardwood lignin .is composed mainly of </w:t>
            </w:r>
            <w:proofErr w:type="spellStart"/>
            <w:r w:rsidRPr="00C72169">
              <w:t>guaiacyl</w:t>
            </w:r>
            <w:proofErr w:type="spellEnd"/>
            <w:r w:rsidRPr="00C72169">
              <w:t xml:space="preserve"> and </w:t>
            </w:r>
            <w:proofErr w:type="spellStart"/>
            <w:r w:rsidRPr="00C72169">
              <w:t>syringyl</w:t>
            </w:r>
            <w:proofErr w:type="spellEnd"/>
            <w:r w:rsidRPr="00C72169">
              <w:t xml:space="preserve"> moieties. Our </w:t>
            </w:r>
            <w:proofErr w:type="spellStart"/>
            <w:r w:rsidRPr="00C72169">
              <w:t>microspectrometric</w:t>
            </w:r>
            <w:proofErr w:type="spellEnd"/>
            <w:r w:rsidRPr="00C72169">
              <w:t xml:space="preserve"> investigations revealed variation of lignin distribution within an annual ring in beech (Fagus </w:t>
            </w:r>
            <w:proofErr w:type="spellStart"/>
            <w:r w:rsidRPr="00C72169">
              <w:t>crenata</w:t>
            </w:r>
            <w:proofErr w:type="spellEnd"/>
            <w:r w:rsidRPr="00C72169">
              <w:t>).</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9" w:history="1">
              <w:r w:rsidR="00C72169" w:rsidRPr="00C72169">
                <w:rPr>
                  <w:rStyle w:val="a3"/>
                </w:rPr>
                <w:t>10.1163/22941932-90000561</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Roland R. </w:t>
            </w:r>
            <w:proofErr w:type="spellStart"/>
            <w:r w:rsidRPr="00C72169">
              <w:t>Dute</w:t>
            </w:r>
            <w:proofErr w:type="spellEnd"/>
            <w:r w:rsidRPr="00C72169">
              <w:t>; Ann E. Rushing; John D. Freeman</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 xml:space="preserve">Survey of </w:t>
            </w:r>
            <w:proofErr w:type="spellStart"/>
            <w:r w:rsidRPr="00C72169">
              <w:rPr>
                <w:b/>
                <w:bCs/>
              </w:rPr>
              <w:t>Intervessel</w:t>
            </w:r>
            <w:proofErr w:type="spellEnd"/>
            <w:r w:rsidRPr="00C72169">
              <w:rPr>
                <w:b/>
                <w:bCs/>
              </w:rPr>
              <w:t xml:space="preserve"> Pit Membrane Structure in Daphne Species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113-123</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Daphne; wood ultrastructure; </w:t>
            </w:r>
            <w:proofErr w:type="spellStart"/>
            <w:r w:rsidRPr="00C72169">
              <w:t>margo</w:t>
            </w:r>
            <w:proofErr w:type="spellEnd"/>
            <w:r w:rsidRPr="00C72169">
              <w:t>; pit membrane; torus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 xml:space="preserve">Of 22 species of Daphne surveyed, 19 possessed tori in their </w:t>
            </w:r>
            <w:proofErr w:type="spellStart"/>
            <w:r w:rsidRPr="00C72169">
              <w:t>intervessel</w:t>
            </w:r>
            <w:proofErr w:type="spellEnd"/>
            <w:r w:rsidRPr="00C72169">
              <w:t xml:space="preserve"> pit membranes. The torus has a circular shape and is centrally-located on the pit membrane. The fibrils of the surrounding </w:t>
            </w:r>
            <w:proofErr w:type="spellStart"/>
            <w:r w:rsidRPr="00C72169">
              <w:t>margo</w:t>
            </w:r>
            <w:proofErr w:type="spellEnd"/>
            <w:r w:rsidRPr="00C72169">
              <w:t xml:space="preserve"> show a random arrangement. In some specimens, the fibrils are obscured by material that impregnates the </w:t>
            </w:r>
            <w:proofErr w:type="spellStart"/>
            <w:r w:rsidRPr="00C72169">
              <w:t>margo</w:t>
            </w:r>
            <w:proofErr w:type="spellEnd"/>
            <w:r w:rsidRPr="00C72169">
              <w:t xml:space="preserve">, coats the torus, and lines the cell lumens. The </w:t>
            </w:r>
            <w:proofErr w:type="spellStart"/>
            <w:r w:rsidRPr="00C72169">
              <w:t>margo</w:t>
            </w:r>
            <w:proofErr w:type="spellEnd"/>
            <w:r w:rsidRPr="00C72169">
              <w:t xml:space="preserve"> has small pores. In those species without tori, the </w:t>
            </w:r>
            <w:proofErr w:type="spellStart"/>
            <w:r w:rsidRPr="00C72169">
              <w:t>intervessel</w:t>
            </w:r>
            <w:proofErr w:type="spellEnd"/>
            <w:r w:rsidRPr="00C72169">
              <w:t xml:space="preserve"> pit membranes, when intact, show </w:t>
            </w:r>
            <w:proofErr w:type="spellStart"/>
            <w:r w:rsidRPr="00C72169">
              <w:t>randomlywoven</w:t>
            </w:r>
            <w:proofErr w:type="spellEnd"/>
            <w:r w:rsidRPr="00C72169">
              <w:t xml:space="preserve"> fibrils and small pores. Air-dried membranes of these </w:t>
            </w:r>
            <w:proofErr w:type="spellStart"/>
            <w:r w:rsidRPr="00C72169">
              <w:t>speeies</w:t>
            </w:r>
            <w:proofErr w:type="spellEnd"/>
            <w:r w:rsidRPr="00C72169">
              <w:t xml:space="preserve"> tend to separate into two layers along the line of the middle lamella </w:t>
            </w:r>
            <w:proofErr w:type="gramStart"/>
            <w:r w:rsidRPr="00C72169">
              <w:t>The</w:t>
            </w:r>
            <w:proofErr w:type="gramEnd"/>
            <w:r w:rsidRPr="00C72169">
              <w:t xml:space="preserve"> presence of a torus is not correlated with evergreen or deciduous habit, but absence of a torus seems to be limited to species of the section Mezereum within the genus Daphne.</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10" w:history="1">
              <w:r w:rsidR="00C72169" w:rsidRPr="00C72169">
                <w:rPr>
                  <w:rStyle w:val="a3"/>
                </w:rPr>
                <w:t>10.1163/22941932-90000562</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Editors IAWA Journal</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Reviews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124-124</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11" w:history="1">
              <w:r w:rsidR="00C72169" w:rsidRPr="00C72169">
                <w:rPr>
                  <w:rStyle w:val="a3"/>
                </w:rPr>
                <w:t>10.1163/22941932-90000563</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Editors IAWA Journal</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Wood Anatomy News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125-126</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12" w:history="1">
              <w:r w:rsidR="00C72169" w:rsidRPr="00C72169">
                <w:rPr>
                  <w:rStyle w:val="a3"/>
                </w:rPr>
                <w:t>10.1163/22941932-90000564</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Editors IAWA Journal</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Association Affairs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127-127</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13" w:history="1">
              <w:r w:rsidR="00C72169" w:rsidRPr="00C72169">
                <w:rPr>
                  <w:rStyle w:val="a3"/>
                </w:rPr>
                <w:t>10.1163/22941932-90000565</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Editors IAWA Journal</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Association Affairs</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128-129</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14" w:history="1">
              <w:r w:rsidR="00C72169" w:rsidRPr="00C72169">
                <w:rPr>
                  <w:rStyle w:val="a3"/>
                </w:rPr>
                <w:t>10.1163/22941932-90000566</w:t>
              </w:r>
            </w:hyperlink>
          </w:p>
        </w:tc>
      </w:tr>
    </w:tbl>
    <w:p w:rsidR="00C72169" w:rsidRPr="00C72169" w:rsidRDefault="00C72169" w:rsidP="00C72169">
      <w:pPr>
        <w:rPr>
          <w:vanish/>
        </w:rPr>
      </w:pPr>
    </w:p>
    <w:p w:rsidR="00C72169" w:rsidRDefault="00C72169"/>
    <w:p w:rsidR="00C72169" w:rsidRDefault="00C72169"/>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Author(s):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Editors IAWA Journal</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Title: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rPr>
                <w:b/>
                <w:bCs/>
              </w:rPr>
              <w:t>IAWA Bulletin</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Source:</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IAWA Bulletin NS, Volume 13, Issue 1</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1992</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Pages: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r w:rsidRPr="00C72169">
              <w:t>130-130</w:t>
            </w: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Abstract:</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p>
        </w:tc>
      </w:tr>
      <w:tr w:rsidR="00C72169" w:rsidRPr="00C72169" w:rsidTr="00C72169">
        <w:tc>
          <w:tcPr>
            <w:tcW w:w="1950" w:type="dxa"/>
            <w:tcBorders>
              <w:top w:val="nil"/>
              <w:left w:val="nil"/>
              <w:bottom w:val="nil"/>
              <w:right w:val="nil"/>
            </w:tcBorders>
            <w:tcMar>
              <w:top w:w="30" w:type="dxa"/>
              <w:left w:w="75" w:type="dxa"/>
              <w:bottom w:w="30" w:type="dxa"/>
              <w:right w:w="75" w:type="dxa"/>
            </w:tcMar>
            <w:hideMark/>
          </w:tcPr>
          <w:p w:rsidR="00C72169" w:rsidRPr="00C72169" w:rsidRDefault="00C72169" w:rsidP="00C72169">
            <w:pPr>
              <w:rPr>
                <w:b/>
                <w:bCs/>
              </w:rPr>
            </w:pPr>
            <w:r w:rsidRPr="00C72169">
              <w:rPr>
                <w:b/>
                <w:bCs/>
              </w:rPr>
              <w:t>DOI:</w:t>
            </w:r>
          </w:p>
        </w:tc>
        <w:tc>
          <w:tcPr>
            <w:tcW w:w="0" w:type="auto"/>
            <w:tcBorders>
              <w:top w:val="nil"/>
              <w:left w:val="nil"/>
              <w:bottom w:val="nil"/>
              <w:right w:val="nil"/>
            </w:tcBorders>
            <w:tcMar>
              <w:top w:w="30" w:type="dxa"/>
              <w:left w:w="75" w:type="dxa"/>
              <w:bottom w:w="30" w:type="dxa"/>
              <w:right w:w="75" w:type="dxa"/>
            </w:tcMar>
            <w:hideMark/>
          </w:tcPr>
          <w:p w:rsidR="00C72169" w:rsidRPr="00C72169" w:rsidRDefault="002739C7" w:rsidP="00C72169">
            <w:hyperlink r:id="rId15" w:history="1">
              <w:r w:rsidR="00C72169" w:rsidRPr="00C72169">
                <w:rPr>
                  <w:rStyle w:val="a3"/>
                </w:rPr>
                <w:t>10.1163/22941932-90000567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D3"/>
    <w:rsid w:val="002739C7"/>
    <w:rsid w:val="00443BCC"/>
    <w:rsid w:val="005E23D3"/>
    <w:rsid w:val="00C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9D90"/>
  <w15:chartTrackingRefBased/>
  <w15:docId w15:val="{12FFC5C7-89B5-44CC-BFA6-E8559823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169"/>
    <w:rPr>
      <w:color w:val="0563C1" w:themeColor="hyperlink"/>
      <w:u w:val="single"/>
    </w:rPr>
  </w:style>
  <w:style w:type="character" w:styleId="a4">
    <w:name w:val="Unresolved Mention"/>
    <w:basedOn w:val="a0"/>
    <w:uiPriority w:val="99"/>
    <w:semiHidden/>
    <w:unhideWhenUsed/>
    <w:rsid w:val="00C72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1425">
      <w:bodyDiv w:val="1"/>
      <w:marLeft w:val="0"/>
      <w:marRight w:val="0"/>
      <w:marTop w:val="0"/>
      <w:marBottom w:val="0"/>
      <w:divBdr>
        <w:top w:val="none" w:sz="0" w:space="0" w:color="auto"/>
        <w:left w:val="none" w:sz="0" w:space="0" w:color="auto"/>
        <w:bottom w:val="none" w:sz="0" w:space="0" w:color="auto"/>
        <w:right w:val="none" w:sz="0" w:space="0" w:color="auto"/>
      </w:divBdr>
    </w:div>
    <w:div w:id="922684900">
      <w:bodyDiv w:val="1"/>
      <w:marLeft w:val="0"/>
      <w:marRight w:val="0"/>
      <w:marTop w:val="0"/>
      <w:marBottom w:val="0"/>
      <w:divBdr>
        <w:top w:val="none" w:sz="0" w:space="0" w:color="auto"/>
        <w:left w:val="none" w:sz="0" w:space="0" w:color="auto"/>
        <w:bottom w:val="none" w:sz="0" w:space="0" w:color="auto"/>
        <w:right w:val="none" w:sz="0" w:space="0" w:color="auto"/>
      </w:divBdr>
    </w:div>
    <w:div w:id="1406759516">
      <w:bodyDiv w:val="1"/>
      <w:marLeft w:val="0"/>
      <w:marRight w:val="0"/>
      <w:marTop w:val="0"/>
      <w:marBottom w:val="0"/>
      <w:divBdr>
        <w:top w:val="none" w:sz="0" w:space="0" w:color="auto"/>
        <w:left w:val="none" w:sz="0" w:space="0" w:color="auto"/>
        <w:bottom w:val="none" w:sz="0" w:space="0" w:color="auto"/>
        <w:right w:val="none" w:sz="0" w:space="0" w:color="auto"/>
      </w:divBdr>
    </w:div>
    <w:div w:id="16688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560" TargetMode="External"/><Relationship Id="rId13" Type="http://schemas.openxmlformats.org/officeDocument/2006/relationships/hyperlink" Target="http://dx.doi.org/10.1163/22941932-90000565" TargetMode="External"/><Relationship Id="rId3" Type="http://schemas.openxmlformats.org/officeDocument/2006/relationships/webSettings" Target="webSettings.xml"/><Relationship Id="rId7" Type="http://schemas.openxmlformats.org/officeDocument/2006/relationships/hyperlink" Target="http://dx.doi.org/10.1163/22941932-90000559" TargetMode="External"/><Relationship Id="rId12" Type="http://schemas.openxmlformats.org/officeDocument/2006/relationships/hyperlink" Target="http://dx.doi.org/10.1163/22941932-9000056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0558" TargetMode="External"/><Relationship Id="rId11" Type="http://schemas.openxmlformats.org/officeDocument/2006/relationships/hyperlink" Target="http://dx.doi.org/10.1163/22941932-90000563" TargetMode="External"/><Relationship Id="rId5" Type="http://schemas.openxmlformats.org/officeDocument/2006/relationships/hyperlink" Target="http://dx.doi.org/10.1163/22941932-90000557" TargetMode="External"/><Relationship Id="rId15" Type="http://schemas.openxmlformats.org/officeDocument/2006/relationships/hyperlink" Target="http://dx.doi.org/10.1163/22941932-90000567" TargetMode="External"/><Relationship Id="rId10" Type="http://schemas.openxmlformats.org/officeDocument/2006/relationships/hyperlink" Target="http://dx.doi.org/10.1163/22941932-90000562" TargetMode="External"/><Relationship Id="rId4" Type="http://schemas.openxmlformats.org/officeDocument/2006/relationships/hyperlink" Target="http://dx.doi.org/10.1163/22941932-90000556" TargetMode="External"/><Relationship Id="rId9" Type="http://schemas.openxmlformats.org/officeDocument/2006/relationships/hyperlink" Target="http://dx.doi.org/10.1163/22941932-90000561" TargetMode="External"/><Relationship Id="rId14" Type="http://schemas.openxmlformats.org/officeDocument/2006/relationships/hyperlink" Target="http://dx.doi.org/10.1163/22941932-9000056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4</cp:revision>
  <dcterms:created xsi:type="dcterms:W3CDTF">2017-06-21T08:05:00Z</dcterms:created>
  <dcterms:modified xsi:type="dcterms:W3CDTF">2017-06-21T08:17:00Z</dcterms:modified>
</cp:coreProperties>
</file>